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9921" w14:textId="77777777" w:rsidR="00803074" w:rsidRPr="006226B9" w:rsidRDefault="00803074" w:rsidP="00803074">
      <w:pPr>
        <w:pStyle w:val="FindingsH2"/>
      </w:pPr>
      <w:bookmarkStart w:id="0" w:name="WAPT08"/>
      <w:bookmarkStart w:id="1" w:name="_Toc207543926"/>
      <w:r>
        <w:t>WAPT08</w:t>
      </w:r>
      <w:r w:rsidRPr="006226B9">
        <w:t xml:space="preserve">: </w:t>
      </w:r>
      <w:r>
        <w:t>Improper Error Handling</w:t>
      </w:r>
      <w:bookmarkEnd w:id="1"/>
    </w:p>
    <w:tbl>
      <w:tblPr>
        <w:tblW w:w="5000" w:type="pct"/>
        <w:jc w:val="center"/>
        <w:tblLayout w:type="fixed"/>
        <w:tblLook w:val="04A0" w:firstRow="1" w:lastRow="0" w:firstColumn="1" w:lastColumn="0" w:noHBand="0" w:noVBand="1"/>
      </w:tblPr>
      <w:tblGrid>
        <w:gridCol w:w="2337"/>
        <w:gridCol w:w="7013"/>
      </w:tblGrid>
      <w:tr w:rsidR="00803074" w14:paraId="2F47973F" w14:textId="77777777" w:rsidTr="009C2DA7">
        <w:trPr>
          <w:trHeight w:val="397"/>
          <w:jc w:val="center"/>
        </w:trPr>
        <w:tc>
          <w:tcPr>
            <w:tcW w:w="1250" w:type="pct"/>
            <w:tcBorders>
              <w:top w:val="single" w:sz="4" w:space="0" w:color="auto"/>
              <w:left w:val="single" w:sz="4" w:space="0" w:color="auto"/>
              <w:bottom w:val="single" w:sz="4" w:space="0" w:color="auto"/>
              <w:right w:val="single" w:sz="4" w:space="0" w:color="auto"/>
            </w:tcBorders>
            <w:shd w:val="clear" w:color="auto" w:fill="002060"/>
            <w:vAlign w:val="center"/>
            <w:hideMark/>
          </w:tcPr>
          <w:bookmarkEnd w:id="0"/>
          <w:p w14:paraId="17EA798E" w14:textId="77777777" w:rsidR="00803074" w:rsidRPr="00963466" w:rsidRDefault="00803074" w:rsidP="009C2DA7">
            <w:pPr>
              <w:rPr>
                <w:rFonts w:cstheme="minorHAnsi"/>
                <w:b/>
                <w:color w:val="FFFFFF" w:themeColor="background1"/>
              </w:rPr>
            </w:pPr>
            <w:r w:rsidRPr="00963466">
              <w:rPr>
                <w:rFonts w:cstheme="minorHAnsi"/>
                <w:b/>
                <w:color w:val="FFFFFF" w:themeColor="background1"/>
              </w:rPr>
              <w:t>Severity Level</w:t>
            </w:r>
          </w:p>
        </w:tc>
        <w:tc>
          <w:tcPr>
            <w:tcW w:w="3750" w:type="pct"/>
            <w:tcBorders>
              <w:top w:val="single" w:sz="4" w:space="0" w:color="auto"/>
              <w:left w:val="single" w:sz="4" w:space="0" w:color="auto"/>
              <w:bottom w:val="single" w:sz="4" w:space="0" w:color="auto"/>
              <w:right w:val="single" w:sz="4" w:space="0" w:color="auto"/>
            </w:tcBorders>
            <w:shd w:val="clear" w:color="auto" w:fill="00B0F0"/>
            <w:vAlign w:val="center"/>
            <w:hideMark/>
          </w:tcPr>
          <w:p w14:paraId="19460C03" w14:textId="77777777" w:rsidR="00803074" w:rsidRPr="00261F5A" w:rsidRDefault="00803074" w:rsidP="009C2DA7">
            <w:pPr>
              <w:rPr>
                <w:rFonts w:ascii="Calibri (Body)" w:hAnsi="Calibri (Body)" w:cstheme="minorHAnsi"/>
              </w:rPr>
            </w:pPr>
            <w:r>
              <w:rPr>
                <w:rFonts w:ascii="Calibri (Body)" w:hAnsi="Calibri (Body)" w:cstheme="minorHAnsi"/>
              </w:rPr>
              <w:t>Informational</w:t>
            </w:r>
          </w:p>
        </w:tc>
      </w:tr>
      <w:tr w:rsidR="00803074" w14:paraId="185D8866" w14:textId="77777777" w:rsidTr="009C2DA7">
        <w:trPr>
          <w:trHeight w:val="397"/>
          <w:jc w:val="center"/>
        </w:trPr>
        <w:tc>
          <w:tcPr>
            <w:tcW w:w="1250"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88222A7" w14:textId="77777777" w:rsidR="00803074" w:rsidRPr="00963466" w:rsidRDefault="00803074" w:rsidP="009C2DA7">
            <w:pPr>
              <w:rPr>
                <w:rFonts w:cstheme="minorHAnsi"/>
                <w:b/>
                <w:color w:val="FFFFFF" w:themeColor="background1"/>
              </w:rPr>
            </w:pPr>
            <w:r w:rsidRPr="00963466">
              <w:rPr>
                <w:rFonts w:cstheme="minorHAnsi"/>
                <w:b/>
                <w:color w:val="FFFFFF" w:themeColor="background1"/>
              </w:rPr>
              <w:t>Rating</w:t>
            </w:r>
          </w:p>
        </w:tc>
        <w:tc>
          <w:tcPr>
            <w:tcW w:w="3750" w:type="pct"/>
            <w:tcBorders>
              <w:top w:val="single" w:sz="4" w:space="0" w:color="auto"/>
              <w:left w:val="single" w:sz="4" w:space="0" w:color="auto"/>
              <w:bottom w:val="single" w:sz="4" w:space="0" w:color="auto"/>
              <w:right w:val="single" w:sz="4" w:space="0" w:color="auto"/>
            </w:tcBorders>
            <w:vAlign w:val="center"/>
          </w:tcPr>
          <w:p w14:paraId="6378478B" w14:textId="77777777" w:rsidR="00803074" w:rsidRPr="004B039D" w:rsidRDefault="00803074" w:rsidP="009C2DA7">
            <w:pPr>
              <w:rPr>
                <w:rFonts w:cstheme="minorHAnsi"/>
              </w:rPr>
            </w:pPr>
            <w:hyperlink r:id="rId5" w:anchor="CVSS:4.0/AV:A/AC:L/AT:N/PR:N/UI:N/VC:N/VI:N/VA:N/SC:N/SI:N/SA:N" w:history="1">
              <w:r>
                <w:rPr>
                  <w:rStyle w:val="Hyperlink"/>
                  <w:rFonts w:ascii="Calibri (Body)" w:hAnsi="Calibri (Body)"/>
                  <w:color w:val="002060"/>
                </w:rPr>
                <w:t>CVSS 0.0</w:t>
              </w:r>
            </w:hyperlink>
          </w:p>
        </w:tc>
      </w:tr>
      <w:tr w:rsidR="00803074" w14:paraId="7798C308" w14:textId="77777777" w:rsidTr="009C2DA7">
        <w:trPr>
          <w:trHeight w:val="397"/>
          <w:jc w:val="center"/>
        </w:trPr>
        <w:tc>
          <w:tcPr>
            <w:tcW w:w="1250"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57466FEB" w14:textId="77777777" w:rsidR="00803074" w:rsidRPr="00963466" w:rsidRDefault="00803074" w:rsidP="009C2DA7">
            <w:pPr>
              <w:rPr>
                <w:rFonts w:cstheme="minorHAnsi"/>
                <w:b/>
                <w:color w:val="FFFFFF" w:themeColor="background1"/>
              </w:rPr>
            </w:pPr>
            <w:r w:rsidRPr="00963466">
              <w:rPr>
                <w:rFonts w:cstheme="minorHAnsi"/>
                <w:b/>
                <w:color w:val="FFFFFF" w:themeColor="background1"/>
              </w:rPr>
              <w:t>Reference</w:t>
            </w:r>
          </w:p>
        </w:tc>
        <w:tc>
          <w:tcPr>
            <w:tcW w:w="3750" w:type="pct"/>
            <w:tcBorders>
              <w:top w:val="single" w:sz="4" w:space="0" w:color="auto"/>
              <w:left w:val="single" w:sz="4" w:space="0" w:color="auto"/>
              <w:bottom w:val="single" w:sz="4" w:space="0" w:color="auto"/>
              <w:right w:val="single" w:sz="4" w:space="0" w:color="auto"/>
            </w:tcBorders>
            <w:vAlign w:val="center"/>
            <w:hideMark/>
          </w:tcPr>
          <w:p w14:paraId="4440736C" w14:textId="77777777" w:rsidR="00803074" w:rsidRPr="004B039D" w:rsidRDefault="00803074" w:rsidP="009C2DA7">
            <w:pPr>
              <w:rPr>
                <w:rFonts w:cstheme="minorHAnsi"/>
              </w:rPr>
            </w:pPr>
            <w:hyperlink r:id="rId6" w:tgtFrame="_blank" w:history="1">
              <w:r w:rsidRPr="004B039D">
                <w:rPr>
                  <w:rStyle w:val="normaltextrun"/>
                  <w:u w:val="single"/>
                  <w:shd w:val="clear" w:color="auto" w:fill="FFFFFF"/>
                </w:rPr>
                <w:t>CWE-693: Protection Mechanism Failure</w:t>
              </w:r>
            </w:hyperlink>
          </w:p>
        </w:tc>
      </w:tr>
      <w:tr w:rsidR="00803074" w14:paraId="3482A0B1" w14:textId="77777777" w:rsidTr="009C2DA7">
        <w:trPr>
          <w:trHeight w:val="397"/>
          <w:jc w:val="center"/>
        </w:trPr>
        <w:tc>
          <w:tcPr>
            <w:tcW w:w="1250"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A7F1114" w14:textId="77777777" w:rsidR="00803074" w:rsidRPr="00963466" w:rsidRDefault="00803074" w:rsidP="009C2DA7">
            <w:pPr>
              <w:rPr>
                <w:rFonts w:cstheme="minorHAnsi"/>
                <w:b/>
                <w:color w:val="FFFFFF" w:themeColor="background1"/>
              </w:rPr>
            </w:pPr>
            <w:r w:rsidRPr="00963466">
              <w:rPr>
                <w:rFonts w:cstheme="minorHAnsi"/>
                <w:b/>
                <w:color w:val="FFFFFF" w:themeColor="background1"/>
              </w:rPr>
              <w:t xml:space="preserve">OWASP </w:t>
            </w:r>
            <w:r>
              <w:rPr>
                <w:rFonts w:cstheme="minorHAnsi"/>
                <w:b/>
                <w:color w:val="FFFFFF" w:themeColor="background1"/>
              </w:rPr>
              <w:t>T</w:t>
            </w:r>
            <w:r w:rsidRPr="00963466">
              <w:rPr>
                <w:rFonts w:cstheme="minorHAnsi"/>
                <w:b/>
                <w:color w:val="FFFFFF" w:themeColor="background1"/>
              </w:rPr>
              <w:t>op 10</w:t>
            </w:r>
          </w:p>
        </w:tc>
        <w:tc>
          <w:tcPr>
            <w:tcW w:w="3750" w:type="pct"/>
            <w:tcBorders>
              <w:top w:val="single" w:sz="4" w:space="0" w:color="auto"/>
              <w:left w:val="single" w:sz="4" w:space="0" w:color="auto"/>
              <w:bottom w:val="single" w:sz="4" w:space="0" w:color="auto"/>
              <w:right w:val="single" w:sz="4" w:space="0" w:color="auto"/>
            </w:tcBorders>
            <w:vAlign w:val="center"/>
            <w:hideMark/>
          </w:tcPr>
          <w:p w14:paraId="37BEF9D1" w14:textId="77777777" w:rsidR="00803074" w:rsidRPr="004B039D" w:rsidRDefault="00803074" w:rsidP="009C2DA7">
            <w:pPr>
              <w:rPr>
                <w:rFonts w:cstheme="minorHAnsi"/>
              </w:rPr>
            </w:pPr>
            <w:hyperlink r:id="rId7" w:history="1">
              <w:r w:rsidRPr="00230E31">
                <w:rPr>
                  <w:rStyle w:val="Hyperlink"/>
                </w:rPr>
                <w:t>A05:2021 Security Misconfiguration</w:t>
              </w:r>
            </w:hyperlink>
          </w:p>
        </w:tc>
      </w:tr>
      <w:tr w:rsidR="00803074" w14:paraId="18932F3A" w14:textId="77777777" w:rsidTr="009C2DA7">
        <w:trPr>
          <w:trHeight w:val="397"/>
          <w:jc w:val="center"/>
        </w:trPr>
        <w:tc>
          <w:tcPr>
            <w:tcW w:w="1250" w:type="pct"/>
            <w:tcBorders>
              <w:top w:val="single" w:sz="4" w:space="0" w:color="auto"/>
              <w:left w:val="single" w:sz="4" w:space="0" w:color="auto"/>
              <w:bottom w:val="single" w:sz="4" w:space="0" w:color="auto"/>
              <w:right w:val="single" w:sz="4" w:space="0" w:color="auto"/>
            </w:tcBorders>
            <w:shd w:val="clear" w:color="auto" w:fill="002060"/>
            <w:vAlign w:val="center"/>
          </w:tcPr>
          <w:p w14:paraId="125B7102" w14:textId="77777777" w:rsidR="00803074" w:rsidRPr="00963466" w:rsidRDefault="00803074" w:rsidP="009C2DA7">
            <w:pPr>
              <w:rPr>
                <w:rFonts w:cstheme="minorHAnsi"/>
                <w:b/>
                <w:color w:val="FFFFFF" w:themeColor="background1"/>
              </w:rPr>
            </w:pPr>
            <w:r w:rsidRPr="006E01D0">
              <w:rPr>
                <w:rFonts w:cstheme="minorHAnsi"/>
                <w:b/>
                <w:color w:val="FFFFFF" w:themeColor="background1"/>
              </w:rPr>
              <w:t>Affected Endpoint(s)</w:t>
            </w:r>
          </w:p>
        </w:tc>
        <w:tc>
          <w:tcPr>
            <w:tcW w:w="3750" w:type="pct"/>
            <w:tcBorders>
              <w:top w:val="single" w:sz="4" w:space="0" w:color="auto"/>
              <w:left w:val="single" w:sz="4" w:space="0" w:color="auto"/>
              <w:bottom w:val="single" w:sz="4" w:space="0" w:color="auto"/>
              <w:right w:val="single" w:sz="4" w:space="0" w:color="auto"/>
            </w:tcBorders>
            <w:vAlign w:val="center"/>
          </w:tcPr>
          <w:p w14:paraId="590B10DF" w14:textId="77777777" w:rsidR="00803074" w:rsidRPr="00A4148F" w:rsidRDefault="00803074" w:rsidP="009C2DA7">
            <w:pPr>
              <w:pStyle w:val="TableBullets"/>
            </w:pPr>
            <w:r>
              <w:t>Application Wide</w:t>
            </w:r>
          </w:p>
        </w:tc>
      </w:tr>
    </w:tbl>
    <w:p w14:paraId="61879358" w14:textId="77777777" w:rsidR="00803074" w:rsidRPr="006226B9" w:rsidRDefault="00803074" w:rsidP="00803074">
      <w:pPr>
        <w:pStyle w:val="Heading3"/>
      </w:pPr>
      <w:bookmarkStart w:id="2" w:name="_Toc207543927"/>
      <w:r w:rsidRPr="00B64F7D">
        <w:t>Description</w:t>
      </w:r>
      <w:bookmarkEnd w:id="2"/>
    </w:p>
    <w:p w14:paraId="292C778E" w14:textId="77777777" w:rsidR="00803074" w:rsidRDefault="00803074" w:rsidP="00803074">
      <w:pPr>
        <w:rPr>
          <w:rStyle w:val="normaltextrun"/>
          <w:rFonts w:ascii="Calibri" w:hAnsi="Calibri" w:cs="Calibri"/>
          <w:bdr w:val="none" w:sz="0" w:space="0" w:color="auto" w:frame="1"/>
        </w:rPr>
      </w:pPr>
      <w:r w:rsidRPr="000F3E9C">
        <w:rPr>
          <w:rFonts w:ascii="Calibri" w:hAnsi="Calibri" w:cs="Calibri"/>
          <w:bdr w:val="none" w:sz="0" w:space="0" w:color="auto" w:frame="1"/>
        </w:rPr>
        <w:t>Improper error handling occurs when an application exposes internal error messages, stack traces, or system details instead of returning controlled and user-friendly responses. Such weaknesses can provide attackers with valuable insight into the underlying technologies, configurations, and logic of the application.</w:t>
      </w:r>
      <w:r w:rsidRPr="000F3E9C">
        <w:rPr>
          <w:rFonts w:ascii="Calibri" w:hAnsi="Calibri" w:cs="Calibri"/>
          <w:bdr w:val="none" w:sz="0" w:space="0" w:color="auto" w:frame="1"/>
        </w:rPr>
        <w:br/>
        <w:t xml:space="preserve">During the assessment, the team managed to identify that the application discloses detailed error messages </w:t>
      </w:r>
      <w:r>
        <w:rPr>
          <w:rFonts w:ascii="Calibri" w:hAnsi="Calibri" w:cs="Calibri"/>
          <w:bdr w:val="none" w:sz="0" w:space="0" w:color="auto" w:frame="1"/>
        </w:rPr>
        <w:t>with some responses like: 500, 400, and other error codes</w:t>
      </w:r>
      <w:r w:rsidRPr="000F3E9C">
        <w:rPr>
          <w:rFonts w:ascii="Calibri" w:hAnsi="Calibri" w:cs="Calibri"/>
          <w:bdr w:val="none" w:sz="0" w:space="0" w:color="auto" w:frame="1"/>
        </w:rPr>
        <w:t>, including</w:t>
      </w:r>
      <w:r>
        <w:rPr>
          <w:rFonts w:ascii="Calibri" w:hAnsi="Calibri" w:cs="Calibri"/>
          <w:bdr w:val="none" w:sz="0" w:space="0" w:color="auto" w:frame="1"/>
        </w:rPr>
        <w:t xml:space="preserve"> </w:t>
      </w:r>
      <w:r w:rsidRPr="000F3E9C">
        <w:rPr>
          <w:rFonts w:ascii="Calibri" w:hAnsi="Calibri" w:cs="Calibri"/>
          <w:bdr w:val="none" w:sz="0" w:space="0" w:color="auto" w:frame="1"/>
        </w:rPr>
        <w:t>internal information such as server type, technology stack, or detailed debug traces</w:t>
      </w:r>
      <w:r w:rsidRPr="006732E9">
        <w:rPr>
          <w:rStyle w:val="normaltextrun"/>
          <w:rFonts w:ascii="Calibri" w:hAnsi="Calibri" w:cs="Calibri"/>
          <w:bdr w:val="none" w:sz="0" w:space="0" w:color="auto" w:frame="1"/>
        </w:rPr>
        <w:t>.</w:t>
      </w:r>
    </w:p>
    <w:p w14:paraId="29F33B3C" w14:textId="77777777" w:rsidR="00803074" w:rsidRPr="006226B9" w:rsidRDefault="00803074" w:rsidP="00803074">
      <w:pPr>
        <w:pStyle w:val="Heading3"/>
      </w:pPr>
      <w:bookmarkStart w:id="3" w:name="_Toc207543928"/>
      <w:r w:rsidRPr="006226B9">
        <w:t>Impact</w:t>
      </w:r>
      <w:bookmarkEnd w:id="3"/>
    </w:p>
    <w:p w14:paraId="73342C8F" w14:textId="77777777" w:rsidR="00803074" w:rsidRDefault="00803074" w:rsidP="00803074">
      <w:pPr>
        <w:jc w:val="both"/>
        <w:rPr>
          <w:rFonts w:cstheme="minorHAnsi"/>
        </w:rPr>
      </w:pPr>
      <w:r w:rsidRPr="00AB273A">
        <w:rPr>
          <w:rFonts w:cstheme="minorHAnsi"/>
        </w:rPr>
        <w:t>Detailed error messages expose underlying technologies, frameworks, and server details. Attackers can use this information to identify known vulnerabilities in those components, enabling more targeted and effective attacks against the environment</w:t>
      </w:r>
      <w:r w:rsidRPr="00C0026F">
        <w:rPr>
          <w:rFonts w:cstheme="minorHAnsi"/>
        </w:rPr>
        <w:t>.</w:t>
      </w:r>
    </w:p>
    <w:p w14:paraId="339E59E5" w14:textId="77777777" w:rsidR="00803074" w:rsidRPr="006226B9" w:rsidRDefault="00803074" w:rsidP="00803074">
      <w:pPr>
        <w:pStyle w:val="Heading3"/>
      </w:pPr>
      <w:bookmarkStart w:id="4" w:name="_Toc207543929"/>
      <w:r w:rsidRPr="006226B9">
        <w:t>Recommendation</w:t>
      </w:r>
      <w:bookmarkEnd w:id="4"/>
    </w:p>
    <w:p w14:paraId="5CEB680D" w14:textId="77777777" w:rsidR="00803074" w:rsidRDefault="00803074" w:rsidP="00803074">
      <w:pPr>
        <w:jc w:val="both"/>
        <w:rPr>
          <w:rFonts w:cstheme="minorHAnsi"/>
        </w:rPr>
      </w:pPr>
      <w:r>
        <w:rPr>
          <w:rFonts w:cstheme="minorHAnsi"/>
        </w:rPr>
        <w:t>The remediation recommendations are listed below:</w:t>
      </w:r>
    </w:p>
    <w:p w14:paraId="4E03ADF6" w14:textId="77777777" w:rsidR="00803074" w:rsidRDefault="00803074" w:rsidP="00803074">
      <w:pPr>
        <w:pStyle w:val="RecommendationBullets"/>
        <w:numPr>
          <w:ilvl w:val="0"/>
          <w:numId w:val="3"/>
        </w:numPr>
      </w:pPr>
      <w:r w:rsidRPr="00AB273A">
        <w:t>Configure the application to return generic error messages to users while logging detailed error information internally</w:t>
      </w:r>
      <w:r w:rsidRPr="00F85659">
        <w:t>.</w:t>
      </w:r>
    </w:p>
    <w:p w14:paraId="7E359E24" w14:textId="77777777" w:rsidR="00803074" w:rsidRDefault="00803074" w:rsidP="00803074">
      <w:pPr>
        <w:pStyle w:val="RecommendationBullets"/>
        <w:numPr>
          <w:ilvl w:val="0"/>
          <w:numId w:val="3"/>
        </w:numPr>
      </w:pPr>
      <w:r w:rsidRPr="00AB273A">
        <w:t>Suppress stack traces and server version banners in error responses</w:t>
      </w:r>
      <w:r w:rsidRPr="00F85659">
        <w:t>.</w:t>
      </w:r>
    </w:p>
    <w:p w14:paraId="6A00BADE" w14:textId="77777777" w:rsidR="00803074" w:rsidRDefault="00803074" w:rsidP="00803074">
      <w:pPr>
        <w:pStyle w:val="RecommendationBullets"/>
        <w:numPr>
          <w:ilvl w:val="0"/>
          <w:numId w:val="0"/>
        </w:numPr>
        <w:ind w:left="357"/>
      </w:pPr>
    </w:p>
    <w:p w14:paraId="390DD727" w14:textId="77777777" w:rsidR="00803074" w:rsidRDefault="00803074" w:rsidP="00803074">
      <w:pPr>
        <w:pStyle w:val="RecommendationBullets"/>
        <w:numPr>
          <w:ilvl w:val="0"/>
          <w:numId w:val="0"/>
        </w:numPr>
        <w:ind w:left="357"/>
      </w:pPr>
    </w:p>
    <w:p w14:paraId="6303BA59" w14:textId="77777777" w:rsidR="00803074" w:rsidRDefault="00803074" w:rsidP="00803074">
      <w:pPr>
        <w:pStyle w:val="RecommendationBullets"/>
        <w:numPr>
          <w:ilvl w:val="0"/>
          <w:numId w:val="0"/>
        </w:numPr>
        <w:ind w:left="357"/>
        <w:rPr>
          <w:rtl/>
          <w:lang w:bidi="ar-EG"/>
        </w:rPr>
      </w:pPr>
    </w:p>
    <w:p w14:paraId="2110D79A" w14:textId="77777777" w:rsidR="00803074" w:rsidRDefault="00803074" w:rsidP="00803074">
      <w:pPr>
        <w:pStyle w:val="RecommendationBullets"/>
        <w:numPr>
          <w:ilvl w:val="0"/>
          <w:numId w:val="0"/>
        </w:numPr>
        <w:ind w:left="357"/>
      </w:pPr>
    </w:p>
    <w:p w14:paraId="1E2BFEAC" w14:textId="77777777" w:rsidR="00803074" w:rsidRDefault="00803074" w:rsidP="00803074">
      <w:pPr>
        <w:pStyle w:val="RecommendationBullets"/>
        <w:numPr>
          <w:ilvl w:val="0"/>
          <w:numId w:val="0"/>
        </w:numPr>
        <w:ind w:left="357"/>
      </w:pPr>
    </w:p>
    <w:p w14:paraId="18D5CA27" w14:textId="77777777" w:rsidR="00803074" w:rsidRDefault="00803074" w:rsidP="00803074">
      <w:pPr>
        <w:pStyle w:val="RecommendationBullets"/>
        <w:numPr>
          <w:ilvl w:val="0"/>
          <w:numId w:val="0"/>
        </w:numPr>
        <w:ind w:left="357"/>
      </w:pPr>
    </w:p>
    <w:p w14:paraId="5CB90073" w14:textId="77777777" w:rsidR="00803074" w:rsidRDefault="00803074" w:rsidP="00803074">
      <w:pPr>
        <w:pStyle w:val="RecommendationBullets"/>
        <w:numPr>
          <w:ilvl w:val="0"/>
          <w:numId w:val="0"/>
        </w:numPr>
        <w:ind w:left="357"/>
      </w:pPr>
    </w:p>
    <w:p w14:paraId="40532427" w14:textId="77777777" w:rsidR="00803074" w:rsidRDefault="00803074" w:rsidP="00803074">
      <w:pPr>
        <w:pStyle w:val="RecommendationBullets"/>
        <w:numPr>
          <w:ilvl w:val="0"/>
          <w:numId w:val="0"/>
        </w:numPr>
        <w:ind w:left="357"/>
      </w:pPr>
    </w:p>
    <w:p w14:paraId="509EC6FB" w14:textId="77777777" w:rsidR="00803074" w:rsidRDefault="00803074" w:rsidP="00803074">
      <w:pPr>
        <w:pStyle w:val="RecommendationBullets"/>
        <w:numPr>
          <w:ilvl w:val="0"/>
          <w:numId w:val="0"/>
        </w:numPr>
        <w:ind w:left="357"/>
      </w:pPr>
    </w:p>
    <w:p w14:paraId="76446AB7" w14:textId="77777777" w:rsidR="00803074" w:rsidRDefault="00803074" w:rsidP="00803074">
      <w:pPr>
        <w:pStyle w:val="RecommendationBullets"/>
        <w:numPr>
          <w:ilvl w:val="0"/>
          <w:numId w:val="0"/>
        </w:numPr>
        <w:ind w:left="357"/>
      </w:pPr>
    </w:p>
    <w:p w14:paraId="39BEDF06" w14:textId="77777777" w:rsidR="00803074" w:rsidRDefault="00803074" w:rsidP="00803074">
      <w:pPr>
        <w:pStyle w:val="RecommendationBullets"/>
        <w:numPr>
          <w:ilvl w:val="0"/>
          <w:numId w:val="0"/>
        </w:numPr>
        <w:ind w:left="357"/>
      </w:pPr>
    </w:p>
    <w:p w14:paraId="6A7EBC6C" w14:textId="77777777" w:rsidR="00803074" w:rsidRPr="00E36071" w:rsidRDefault="00803074" w:rsidP="00803074">
      <w:pPr>
        <w:pStyle w:val="RecommendationBullets"/>
        <w:numPr>
          <w:ilvl w:val="0"/>
          <w:numId w:val="0"/>
        </w:numPr>
        <w:ind w:left="357"/>
      </w:pPr>
    </w:p>
    <w:p w14:paraId="1B0F73DF" w14:textId="77777777" w:rsidR="00803074" w:rsidRPr="006226B9" w:rsidRDefault="00803074" w:rsidP="00803074">
      <w:pPr>
        <w:pStyle w:val="Heading3"/>
      </w:pPr>
      <w:bookmarkStart w:id="5" w:name="_Toc207543930"/>
      <w:r w:rsidRPr="006226B9">
        <w:lastRenderedPageBreak/>
        <w:t>Steps To Reproduce</w:t>
      </w:r>
      <w:bookmarkEnd w:id="5"/>
    </w:p>
    <w:p w14:paraId="3ADCF66C" w14:textId="77777777" w:rsidR="00803074" w:rsidRPr="00AB273A" w:rsidRDefault="00803074" w:rsidP="00803074">
      <w:r>
        <w:t xml:space="preserve">1. Manipulate any request in the application with unpredictable </w:t>
      </w:r>
      <w:proofErr w:type="spellStart"/>
      <w:r>
        <w:t>behaviours</w:t>
      </w:r>
      <w:proofErr w:type="spellEnd"/>
      <w:r>
        <w:t xml:space="preserve"> and observe the detailed error in the response body, as shown below:</w:t>
      </w:r>
      <w:r w:rsidRPr="00AB273A">
        <w:rPr>
          <w:noProof/>
        </w:rPr>
        <w:drawing>
          <wp:inline distT="0" distB="0" distL="0" distR="0" wp14:anchorId="49E660DB" wp14:editId="67F46578">
            <wp:extent cx="5943600" cy="2486025"/>
            <wp:effectExtent l="19050" t="19050" r="19050" b="28575"/>
            <wp:docPr id="1834255005" name="Picture 2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44958" name="Picture 28" descr="A screenshot of a compu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486025"/>
                    </a:xfrm>
                    <a:prstGeom prst="rect">
                      <a:avLst/>
                    </a:prstGeom>
                    <a:noFill/>
                    <a:ln>
                      <a:solidFill>
                        <a:schemeClr val="tx1"/>
                      </a:solidFill>
                    </a:ln>
                  </pic:spPr>
                </pic:pic>
              </a:graphicData>
            </a:graphic>
          </wp:inline>
        </w:drawing>
      </w:r>
    </w:p>
    <w:p w14:paraId="24096D7B" w14:textId="77777777" w:rsidR="0099005F" w:rsidRDefault="0099005F"/>
    <w:sectPr w:rsidR="0099005F" w:rsidSect="00990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EE"/>
    <w:family w:val="auto"/>
    <w:pitch w:val="default"/>
  </w:font>
  <w:font w:name="Calibri Light">
    <w:panose1 w:val="020F03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AA8"/>
    <w:multiLevelType w:val="hybridMultilevel"/>
    <w:tmpl w:val="0A604D2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3BF320B2"/>
    <w:multiLevelType w:val="hybridMultilevel"/>
    <w:tmpl w:val="C06A295A"/>
    <w:lvl w:ilvl="0" w:tplc="E2FEF0F2">
      <w:start w:val="1"/>
      <w:numFmt w:val="bullet"/>
      <w:pStyle w:val="Recommendation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5A5F76"/>
    <w:multiLevelType w:val="multilevel"/>
    <w:tmpl w:val="3432F182"/>
    <w:lvl w:ilvl="0">
      <w:start w:val="1"/>
      <w:numFmt w:val="bullet"/>
      <w:pStyle w:val="TableBullets"/>
      <w:suff w:val="space"/>
      <w:lvlText w:val=""/>
      <w:lvlJc w:val="left"/>
      <w:pPr>
        <w:ind w:left="720" w:hanging="72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6240083">
    <w:abstractNumId w:val="1"/>
  </w:num>
  <w:num w:numId="2" w16cid:durableId="1845439200">
    <w:abstractNumId w:val="2"/>
  </w:num>
  <w:num w:numId="3" w16cid:durableId="63329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70"/>
    <w:rsid w:val="00117283"/>
    <w:rsid w:val="00125454"/>
    <w:rsid w:val="005A1960"/>
    <w:rsid w:val="006E2913"/>
    <w:rsid w:val="00803074"/>
    <w:rsid w:val="009404C2"/>
    <w:rsid w:val="0099005F"/>
    <w:rsid w:val="00AE28AB"/>
    <w:rsid w:val="00B879E6"/>
    <w:rsid w:val="00B92B70"/>
    <w:rsid w:val="00C16D96"/>
    <w:rsid w:val="00D12B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162B"/>
  <w15:chartTrackingRefBased/>
  <w15:docId w15:val="{3F4D6CAE-D13F-4E10-A60E-CCF4207D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03074"/>
    <w:pPr>
      <w:spacing w:after="0" w:line="240" w:lineRule="auto"/>
    </w:pPr>
    <w:rPr>
      <w:rFonts w:eastAsia="Andale Sans UI" w:cs="Times New Roman"/>
      <w:color w:val="002060"/>
      <w:kern w:val="1"/>
    </w:rPr>
  </w:style>
  <w:style w:type="paragraph" w:styleId="Heading1">
    <w:name w:val="heading 1"/>
    <w:basedOn w:val="Normal"/>
    <w:next w:val="Normal"/>
    <w:link w:val="Heading1Char"/>
    <w:uiPriority w:val="1"/>
    <w:qFormat/>
    <w:rsid w:val="00B92B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2B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92B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B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B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B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B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92B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B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B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B70"/>
    <w:rPr>
      <w:rFonts w:eastAsiaTheme="majorEastAsia" w:cstheme="majorBidi"/>
      <w:color w:val="272727" w:themeColor="text1" w:themeTint="D8"/>
    </w:rPr>
  </w:style>
  <w:style w:type="paragraph" w:styleId="Title">
    <w:name w:val="Title"/>
    <w:basedOn w:val="Normal"/>
    <w:next w:val="Normal"/>
    <w:link w:val="TitleChar"/>
    <w:uiPriority w:val="10"/>
    <w:qFormat/>
    <w:rsid w:val="00B92B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B70"/>
    <w:pPr>
      <w:spacing w:before="160"/>
      <w:jc w:val="center"/>
    </w:pPr>
    <w:rPr>
      <w:i/>
      <w:iCs/>
      <w:color w:val="404040" w:themeColor="text1" w:themeTint="BF"/>
    </w:rPr>
  </w:style>
  <w:style w:type="character" w:customStyle="1" w:styleId="QuoteChar">
    <w:name w:val="Quote Char"/>
    <w:basedOn w:val="DefaultParagraphFont"/>
    <w:link w:val="Quote"/>
    <w:uiPriority w:val="29"/>
    <w:rsid w:val="00B92B70"/>
    <w:rPr>
      <w:i/>
      <w:iCs/>
      <w:color w:val="404040" w:themeColor="text1" w:themeTint="BF"/>
    </w:rPr>
  </w:style>
  <w:style w:type="paragraph" w:styleId="ListParagraph">
    <w:name w:val="List Paragraph"/>
    <w:basedOn w:val="Normal"/>
    <w:uiPriority w:val="34"/>
    <w:qFormat/>
    <w:rsid w:val="00B92B70"/>
    <w:pPr>
      <w:ind w:left="720"/>
      <w:contextualSpacing/>
    </w:pPr>
  </w:style>
  <w:style w:type="character" w:styleId="IntenseEmphasis">
    <w:name w:val="Intense Emphasis"/>
    <w:basedOn w:val="DefaultParagraphFont"/>
    <w:uiPriority w:val="21"/>
    <w:qFormat/>
    <w:rsid w:val="00B92B70"/>
    <w:rPr>
      <w:i/>
      <w:iCs/>
      <w:color w:val="2F5496" w:themeColor="accent1" w:themeShade="BF"/>
    </w:rPr>
  </w:style>
  <w:style w:type="paragraph" w:styleId="IntenseQuote">
    <w:name w:val="Intense Quote"/>
    <w:basedOn w:val="Normal"/>
    <w:next w:val="Normal"/>
    <w:link w:val="IntenseQuoteChar"/>
    <w:uiPriority w:val="30"/>
    <w:qFormat/>
    <w:rsid w:val="00B92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B70"/>
    <w:rPr>
      <w:i/>
      <w:iCs/>
      <w:color w:val="2F5496" w:themeColor="accent1" w:themeShade="BF"/>
    </w:rPr>
  </w:style>
  <w:style w:type="character" w:styleId="IntenseReference">
    <w:name w:val="Intense Reference"/>
    <w:basedOn w:val="DefaultParagraphFont"/>
    <w:uiPriority w:val="32"/>
    <w:qFormat/>
    <w:rsid w:val="00B92B70"/>
    <w:rPr>
      <w:b/>
      <w:bCs/>
      <w:smallCaps/>
      <w:color w:val="2F5496" w:themeColor="accent1" w:themeShade="BF"/>
      <w:spacing w:val="5"/>
    </w:rPr>
  </w:style>
  <w:style w:type="character" w:styleId="Hyperlink">
    <w:name w:val="Hyperlink"/>
    <w:basedOn w:val="DefaultParagraphFont"/>
    <w:uiPriority w:val="99"/>
    <w:unhideWhenUsed/>
    <w:qFormat/>
    <w:rsid w:val="00803074"/>
    <w:rPr>
      <w:color w:val="0563C1" w:themeColor="hyperlink"/>
      <w:u w:val="single"/>
    </w:rPr>
  </w:style>
  <w:style w:type="character" w:customStyle="1" w:styleId="normaltextrun">
    <w:name w:val="normaltextrun"/>
    <w:basedOn w:val="DefaultParagraphFont"/>
    <w:rsid w:val="00803074"/>
  </w:style>
  <w:style w:type="paragraph" w:customStyle="1" w:styleId="FindingsH2">
    <w:name w:val="Findings H2"/>
    <w:basedOn w:val="Heading2"/>
    <w:link w:val="FindingsH2Char"/>
    <w:uiPriority w:val="1"/>
    <w:qFormat/>
    <w:rsid w:val="00803074"/>
    <w:pPr>
      <w:numPr>
        <w:ilvl w:val="1"/>
      </w:numPr>
      <w:spacing w:before="0" w:after="20" w:line="259" w:lineRule="auto"/>
      <w:ind w:left="792" w:hanging="792"/>
    </w:pPr>
    <w:rPr>
      <w:rFonts w:cstheme="minorHAnsi"/>
      <w:b/>
      <w:color w:val="002060"/>
      <w:kern w:val="0"/>
    </w:rPr>
  </w:style>
  <w:style w:type="character" w:customStyle="1" w:styleId="FindingsH2Char">
    <w:name w:val="Findings H2 Char"/>
    <w:basedOn w:val="Heading2Char"/>
    <w:link w:val="FindingsH2"/>
    <w:uiPriority w:val="1"/>
    <w:rsid w:val="00803074"/>
    <w:rPr>
      <w:rFonts w:asciiTheme="majorHAnsi" w:eastAsiaTheme="majorEastAsia" w:hAnsiTheme="majorHAnsi" w:cstheme="minorHAnsi"/>
      <w:b/>
      <w:color w:val="002060"/>
      <w:kern w:val="0"/>
      <w:sz w:val="32"/>
      <w:szCs w:val="32"/>
    </w:rPr>
  </w:style>
  <w:style w:type="paragraph" w:customStyle="1" w:styleId="TableBullets">
    <w:name w:val="Table Bullets"/>
    <w:basedOn w:val="ListParagraph"/>
    <w:link w:val="TableBulletsChar"/>
    <w:uiPriority w:val="2"/>
    <w:qFormat/>
    <w:rsid w:val="00803074"/>
    <w:pPr>
      <w:numPr>
        <w:numId w:val="2"/>
      </w:numPr>
      <w:spacing w:before="20" w:after="60"/>
      <w:ind w:left="0" w:firstLine="0"/>
      <w:contextualSpacing w:val="0"/>
      <w:jc w:val="both"/>
    </w:pPr>
    <w:rPr>
      <w:rFonts w:cstheme="minorHAnsi"/>
      <w:kern w:val="0"/>
      <w:sz w:val="22"/>
      <w:szCs w:val="22"/>
    </w:rPr>
  </w:style>
  <w:style w:type="character" w:customStyle="1" w:styleId="TableBulletsChar">
    <w:name w:val="Table Bullets Char"/>
    <w:basedOn w:val="DefaultParagraphFont"/>
    <w:link w:val="TableBullets"/>
    <w:uiPriority w:val="2"/>
    <w:rsid w:val="00803074"/>
    <w:rPr>
      <w:rFonts w:cstheme="minorHAnsi"/>
      <w:color w:val="002060"/>
      <w:kern w:val="0"/>
      <w:sz w:val="22"/>
      <w:szCs w:val="22"/>
    </w:rPr>
  </w:style>
  <w:style w:type="paragraph" w:customStyle="1" w:styleId="RecommendationBullets">
    <w:name w:val="Recommendation Bullets"/>
    <w:basedOn w:val="ListParagraph"/>
    <w:link w:val="RecommendationBulletsChar"/>
    <w:uiPriority w:val="2"/>
    <w:qFormat/>
    <w:rsid w:val="00803074"/>
    <w:pPr>
      <w:numPr>
        <w:numId w:val="1"/>
      </w:numPr>
      <w:spacing w:before="80"/>
      <w:ind w:left="357" w:firstLine="0"/>
      <w:contextualSpacing w:val="0"/>
      <w:jc w:val="both"/>
    </w:pPr>
    <w:rPr>
      <w:rFonts w:cstheme="minorHAnsi"/>
      <w:kern w:val="0"/>
      <w:sz w:val="22"/>
      <w:szCs w:val="22"/>
    </w:rPr>
  </w:style>
  <w:style w:type="character" w:customStyle="1" w:styleId="RecommendationBulletsChar">
    <w:name w:val="Recommendation Bullets Char"/>
    <w:basedOn w:val="DefaultParagraphFont"/>
    <w:link w:val="RecommendationBullets"/>
    <w:uiPriority w:val="2"/>
    <w:rsid w:val="00803074"/>
    <w:rPr>
      <w:rFonts w:cstheme="minorHAnsi"/>
      <w:color w:val="002060"/>
      <w:kern w:val="0"/>
      <w:sz w:val="22"/>
      <w:szCs w:val="22"/>
    </w:rPr>
  </w:style>
  <w:style w:type="paragraph" w:customStyle="1" w:styleId="AppendixH4">
    <w:name w:val="Appendix H4"/>
    <w:basedOn w:val="Normal"/>
    <w:uiPriority w:val="5"/>
    <w:qFormat/>
    <w:rsid w:val="00803074"/>
    <w:pPr>
      <w:spacing w:before="360"/>
      <w:outlineLvl w:val="3"/>
    </w:pPr>
    <w:rPr>
      <w:b/>
      <w:bCs/>
      <w:w w:val="10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wasp.org/Top10/A05_2021-Security_Misconfigu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we.mitre.org/data/definitions/693.html" TargetMode="External"/><Relationship Id="rId5" Type="http://schemas.openxmlformats.org/officeDocument/2006/relationships/hyperlink" Target="https://www.first.org/cvss/calculator/4-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Shaker</dc:creator>
  <cp:keywords/>
  <dc:description/>
  <cp:lastModifiedBy>Mohamed Shaker</cp:lastModifiedBy>
  <cp:revision>2</cp:revision>
  <dcterms:created xsi:type="dcterms:W3CDTF">2025-09-09T08:45:00Z</dcterms:created>
  <dcterms:modified xsi:type="dcterms:W3CDTF">2025-09-09T08:45:00Z</dcterms:modified>
</cp:coreProperties>
</file>